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Pr>
          <w:rFonts w:ascii="Times New Roman" w:hAnsi="Times New Roman"/>
          <w:sz w:val="24"/>
        </w:rPr>
        <w:tab/>
        <w:t>R4-1</w:t>
      </w:r>
      <w:r w:rsidR="00DD1BBF">
        <w:rPr>
          <w:rFonts w:ascii="Times New Roman" w:hAnsi="Times New Roman"/>
          <w:sz w:val="24"/>
        </w:rPr>
        <w:t>900962</w:t>
      </w:r>
      <w:bookmarkStart w:id="0" w:name="_GoBack"/>
      <w:bookmarkEnd w:id="0"/>
    </w:p>
    <w:p w:rsidR="005813AA" w:rsidRPr="00552689" w:rsidRDefault="0032455B"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25 February</w:t>
      </w:r>
      <w:r w:rsidR="002B1082">
        <w:rPr>
          <w:rFonts w:ascii="Times New Roman" w:hAnsi="Times New Roman"/>
          <w:sz w:val="24"/>
          <w:lang w:val="en-US"/>
        </w:rPr>
        <w:t xml:space="preserve">-1 </w:t>
      </w:r>
      <w:r>
        <w:rPr>
          <w:rFonts w:ascii="Times New Roman" w:hAnsi="Times New Roman"/>
          <w:sz w:val="24"/>
          <w:lang w:val="en-US"/>
        </w:rPr>
        <w:t>March,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E30733">
        <w:rPr>
          <w:rFonts w:ascii="Arial" w:hAnsi="Arial" w:cs="Arial"/>
          <w:sz w:val="24"/>
          <w:lang w:val="en-US" w:eastAsia="zh-CN"/>
        </w:rPr>
        <w:t>Side conditions for NR Es/Iot in FR2</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950F75" w:rsidRPr="00950F75">
        <w:rPr>
          <w:rFonts w:ascii="Arial" w:hAnsi="Arial" w:cs="Arial"/>
          <w:sz w:val="24"/>
          <w:lang w:val="en-US" w:eastAsia="zh-CN"/>
        </w:rPr>
        <w:t>6.13.1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E30733" w:rsidRDefault="00E30733" w:rsidP="0032455B">
      <w:r>
        <w:t>Currently, side conditions in NR FR2 are mostly TBD, for instance according to the following example for SS-RSRP intra</w:t>
      </w:r>
      <w:r w:rsidR="00950F75">
        <w:t>-</w:t>
      </w:r>
      <w:r>
        <w:t xml:space="preserve">frequency absolute accuracy. Other measurement requirements and measurement quantities have a similar </w:t>
      </w:r>
      <w:r w:rsidR="00950F75">
        <w:t>situation</w:t>
      </w:r>
    </w:p>
    <w:p w:rsidR="00E30733" w:rsidRPr="00540AD0" w:rsidRDefault="00E30733" w:rsidP="00E30733">
      <w:pPr>
        <w:keepNext/>
        <w:keepLines/>
        <w:spacing w:before="60"/>
        <w:jc w:val="center"/>
      </w:pPr>
      <w:r w:rsidRPr="00540AD0">
        <w:rPr>
          <w:rFonts w:ascii="Arial" w:hAnsi="Arial"/>
          <w:b/>
        </w:rPr>
        <w:t>Table 10.1.</w:t>
      </w:r>
      <w:r w:rsidRPr="00540AD0">
        <w:rPr>
          <w:rFonts w:ascii="Arial" w:hAnsi="Arial"/>
          <w:b/>
          <w:lang w:eastAsia="zh-CN"/>
        </w:rPr>
        <w:t>3</w:t>
      </w:r>
      <w:r w:rsidRPr="00540AD0">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E30733" w:rsidRPr="00540AD0" w:rsidTr="004869CB">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Conditions</w:t>
            </w:r>
          </w:p>
        </w:tc>
      </w:tr>
      <w:tr w:rsidR="00E30733" w:rsidRPr="00540AD0" w:rsidTr="004869CB">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Io</w:t>
            </w:r>
            <w:r w:rsidRPr="004869CB">
              <w:rPr>
                <w:rFonts w:ascii="Arial" w:hAnsi="Arial"/>
                <w:vertAlign w:val="superscript"/>
              </w:rPr>
              <w:t xml:space="preserve"> Note 1</w:t>
            </w:r>
            <w:r w:rsidRPr="004869CB">
              <w:rPr>
                <w:rFonts w:ascii="Arial" w:hAnsi="Arial"/>
              </w:rPr>
              <w:t xml:space="preserve"> range</w:t>
            </w:r>
          </w:p>
        </w:tc>
      </w:tr>
      <w:tr w:rsidR="00E30733" w:rsidRPr="00540AD0" w:rsidTr="004869CB">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E30733" w:rsidRPr="004869CB" w:rsidRDefault="00E30733" w:rsidP="004869CB">
            <w:pPr>
              <w:pStyle w:val="TAH"/>
              <w:rPr>
                <w:rFonts w:ascii="Arial" w:hAnsi="Arial"/>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NR operating band groups</w:t>
            </w:r>
            <w:r w:rsidRPr="004869CB">
              <w:rPr>
                <w:rFonts w:ascii="Arial" w:hAnsi="Arial"/>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Maximum Io</w:t>
            </w:r>
          </w:p>
        </w:tc>
      </w:tr>
      <w:tr w:rsidR="00E30733" w:rsidRPr="00540AD0" w:rsidTr="004869CB">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rsidR="00E30733" w:rsidRPr="004869CB" w:rsidRDefault="00E30733" w:rsidP="004869CB">
            <w:pPr>
              <w:pStyle w:val="TAH"/>
              <w:rPr>
                <w:rFonts w:ascii="Arial" w:hAnsi="Arial"/>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cs="Arial"/>
              </w:rPr>
              <w:t xml:space="preserve">dBm / </w:t>
            </w:r>
            <w:r w:rsidRPr="004869CB">
              <w:rPr>
                <w:rFonts w:ascii="Arial" w:hAnsi="Arial"/>
              </w:rPr>
              <w:t>SCS</w:t>
            </w:r>
            <w:r w:rsidRPr="004869CB">
              <w:rPr>
                <w:rFonts w:ascii="Arial" w:hAnsi="Arial"/>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dBm/BW</w:t>
            </w:r>
            <w:r w:rsidRPr="004869CB">
              <w:rPr>
                <w:rFonts w:ascii="Arial" w:hAnsi="Arial"/>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dBm/BW</w:t>
            </w:r>
            <w:r w:rsidRPr="004869CB">
              <w:rPr>
                <w:rFonts w:ascii="Arial" w:hAnsi="Arial"/>
                <w:vertAlign w:val="subscript"/>
              </w:rPr>
              <w:t>Channel</w:t>
            </w:r>
          </w:p>
        </w:tc>
      </w:tr>
      <w:tr w:rsidR="00E30733" w:rsidRPr="00540AD0" w:rsidTr="004869CB">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p>
        </w:tc>
        <w:tc>
          <w:tcPr>
            <w:tcW w:w="1017" w:type="dxa"/>
            <w:vMerge/>
            <w:tcBorders>
              <w:left w:val="single" w:sz="6"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p>
        </w:tc>
        <w:tc>
          <w:tcPr>
            <w:tcW w:w="728" w:type="dxa"/>
            <w:vMerge/>
            <w:tcBorders>
              <w:left w:val="single" w:sz="6" w:space="0" w:color="auto"/>
              <w:bottom w:val="single" w:sz="6" w:space="0" w:color="auto"/>
              <w:right w:val="single" w:sz="6" w:space="0" w:color="auto"/>
            </w:tcBorders>
            <w:shd w:val="clear" w:color="auto" w:fill="auto"/>
          </w:tcPr>
          <w:p w:rsidR="00E30733" w:rsidRPr="004869CB" w:rsidRDefault="00E30733" w:rsidP="004869CB">
            <w:pPr>
              <w:pStyle w:val="TAH"/>
              <w:rPr>
                <w:rFonts w:ascii="Arial" w:hAnsi="Arial"/>
              </w:rPr>
            </w:pPr>
          </w:p>
        </w:tc>
        <w:tc>
          <w:tcPr>
            <w:tcW w:w="2144" w:type="dxa"/>
            <w:vMerge/>
            <w:tcBorders>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H"/>
              <w:rPr>
                <w:rFonts w:ascii="Arial" w:hAnsi="Arial"/>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SCS</w:t>
            </w:r>
            <w:r w:rsidRPr="004869CB">
              <w:rPr>
                <w:rFonts w:ascii="Arial" w:hAnsi="Arial"/>
                <w:vertAlign w:val="subscript"/>
              </w:rPr>
              <w:t>SSB</w:t>
            </w:r>
            <w:r w:rsidRPr="004869CB">
              <w:rPr>
                <w:rFonts w:ascii="Arial" w:hAnsi="Arial"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r w:rsidRPr="004869CB">
              <w:rPr>
                <w:rFonts w:ascii="Arial" w:hAnsi="Arial"/>
              </w:rPr>
              <w:t>SCS</w:t>
            </w:r>
            <w:r w:rsidRPr="004869CB">
              <w:rPr>
                <w:rFonts w:ascii="Arial" w:hAnsi="Arial"/>
                <w:vertAlign w:val="subscript"/>
              </w:rPr>
              <w:t>SSB</w:t>
            </w:r>
            <w:r w:rsidRPr="004869CB">
              <w:rPr>
                <w:rFonts w:ascii="Arial" w:hAnsi="Arial"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rsidR="00E30733" w:rsidRPr="004869CB" w:rsidRDefault="00E30733" w:rsidP="004869CB">
            <w:pPr>
              <w:pStyle w:val="TAH"/>
              <w:rPr>
                <w:rFonts w:ascii="Arial" w:hAnsi="Arial"/>
              </w:rPr>
            </w:pPr>
          </w:p>
        </w:tc>
        <w:tc>
          <w:tcPr>
            <w:tcW w:w="1486" w:type="dxa"/>
            <w:vMerge/>
            <w:tcBorders>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H"/>
              <w:rPr>
                <w:rFonts w:ascii="Arial" w:hAnsi="Arial"/>
              </w:rPr>
            </w:pPr>
          </w:p>
        </w:tc>
      </w:tr>
      <w:tr w:rsidR="00E30733" w:rsidRPr="00540AD0" w:rsidTr="004869CB">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sym w:font="Symbol" w:char="F0B1"/>
            </w:r>
            <w:r w:rsidRPr="004869CB">
              <w:rPr>
                <w:rFonts w:ascii="Arial" w:hAnsi="Arial"/>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sym w:font="Symbol" w:char="F0B1"/>
            </w:r>
            <w:r w:rsidRPr="004869CB">
              <w:rPr>
                <w:rFonts w:ascii="Arial" w:hAnsi="Arial"/>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E30733" w:rsidRPr="00950F75" w:rsidRDefault="00E30733" w:rsidP="004869CB">
            <w:pPr>
              <w:pStyle w:val="TAC"/>
              <w:rPr>
                <w:rFonts w:ascii="Arial" w:hAnsi="Arial"/>
                <w:highlight w:val="yellow"/>
              </w:rPr>
            </w:pPr>
            <w:r w:rsidRPr="00950F75">
              <w:rPr>
                <w:rFonts w:ascii="Arial" w:hAnsi="Arial"/>
                <w:highlight w:val="yellow"/>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E30733" w:rsidRPr="004869CB" w:rsidRDefault="00E30733" w:rsidP="004869CB">
            <w:pPr>
              <w:pStyle w:val="TAC"/>
              <w:rPr>
                <w:rFonts w:ascii="Arial" w:hAnsi="Arial"/>
              </w:rPr>
            </w:pPr>
            <w:r w:rsidRPr="004869CB">
              <w:rPr>
                <w:rFonts w:ascii="Arial" w:hAnsi="Arial"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eastAsia="Yu Mincho" w:hAnsi="Arial"/>
                <w:lang w:eastAsia="ja-JP"/>
              </w:rPr>
            </w:pPr>
            <w:r w:rsidRPr="004869CB">
              <w:rPr>
                <w:rFonts w:ascii="Arial" w:hAnsi="Arial"/>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eastAsia="Yu Mincho" w:hAnsi="Arial"/>
                <w:lang w:eastAsia="ja-JP"/>
              </w:rPr>
            </w:pPr>
            <w:r w:rsidRPr="004869CB">
              <w:rPr>
                <w:rFonts w:ascii="Arial" w:hAnsi="Arial"/>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-70</w:t>
            </w:r>
          </w:p>
        </w:tc>
      </w:tr>
      <w:tr w:rsidR="00E30733" w:rsidRPr="00540AD0" w:rsidTr="004869CB">
        <w:trPr>
          <w:jc w:val="center"/>
        </w:trPr>
        <w:tc>
          <w:tcPr>
            <w:tcW w:w="1017" w:type="dxa"/>
            <w:vMerge/>
            <w:tcBorders>
              <w:left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1017" w:type="dxa"/>
            <w:vMerge/>
            <w:tcBorders>
              <w:left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728" w:type="dxa"/>
            <w:vMerge/>
            <w:tcBorders>
              <w:left w:val="single" w:sz="6" w:space="0" w:color="auto"/>
              <w:right w:val="single" w:sz="6" w:space="0" w:color="auto"/>
            </w:tcBorders>
            <w:shd w:val="clear" w:color="auto" w:fill="auto"/>
            <w:vAlign w:val="center"/>
          </w:tcPr>
          <w:p w:rsidR="00E30733" w:rsidRPr="00950F75" w:rsidRDefault="00E30733" w:rsidP="004869CB">
            <w:pPr>
              <w:pStyle w:val="TAC"/>
              <w:rPr>
                <w:rFonts w:ascii="Arial" w:hAnsi="Arial"/>
                <w:highlight w:val="yellow"/>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E30733" w:rsidRPr="004869CB" w:rsidRDefault="00E30733" w:rsidP="004869CB">
            <w:pPr>
              <w:pStyle w:val="TAC"/>
              <w:rPr>
                <w:rFonts w:ascii="Arial" w:hAnsi="Arial"/>
              </w:rPr>
            </w:pPr>
            <w:r w:rsidRPr="004869CB">
              <w:rPr>
                <w:rFonts w:ascii="Arial" w:hAnsi="Arial"/>
              </w:rPr>
              <w:t>-70</w:t>
            </w:r>
          </w:p>
        </w:tc>
      </w:tr>
      <w:tr w:rsidR="00E30733" w:rsidRPr="00540AD0" w:rsidTr="004869CB">
        <w:trPr>
          <w:jc w:val="center"/>
        </w:trPr>
        <w:tc>
          <w:tcPr>
            <w:tcW w:w="1017" w:type="dxa"/>
            <w:vMerge/>
            <w:tcBorders>
              <w:left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1017" w:type="dxa"/>
            <w:vMerge/>
            <w:tcBorders>
              <w:left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728" w:type="dxa"/>
            <w:vMerge/>
            <w:tcBorders>
              <w:left w:val="single" w:sz="6" w:space="0" w:color="auto"/>
              <w:right w:val="single" w:sz="6" w:space="0" w:color="auto"/>
            </w:tcBorders>
            <w:shd w:val="clear" w:color="auto" w:fill="auto"/>
            <w:vAlign w:val="center"/>
          </w:tcPr>
          <w:p w:rsidR="00E30733" w:rsidRPr="00950F75" w:rsidRDefault="00E30733" w:rsidP="004869CB">
            <w:pPr>
              <w:pStyle w:val="TAC"/>
              <w:rPr>
                <w:rFonts w:ascii="Arial" w:hAnsi="Arial"/>
                <w:highlight w:val="yellow"/>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-70</w:t>
            </w:r>
          </w:p>
        </w:tc>
      </w:tr>
      <w:tr w:rsidR="00E30733" w:rsidRPr="00540AD0" w:rsidTr="004869CB">
        <w:trPr>
          <w:jc w:val="center"/>
        </w:trPr>
        <w:tc>
          <w:tcPr>
            <w:tcW w:w="1017" w:type="dxa"/>
            <w:vMerge/>
            <w:tcBorders>
              <w:left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1017" w:type="dxa"/>
            <w:vMerge/>
            <w:tcBorders>
              <w:left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728" w:type="dxa"/>
            <w:vMerge/>
            <w:tcBorders>
              <w:left w:val="single" w:sz="6" w:space="0" w:color="auto"/>
              <w:right w:val="single" w:sz="6" w:space="0" w:color="auto"/>
            </w:tcBorders>
            <w:shd w:val="clear" w:color="auto" w:fill="auto"/>
            <w:vAlign w:val="center"/>
          </w:tcPr>
          <w:p w:rsidR="00E30733" w:rsidRPr="00950F75" w:rsidRDefault="00E30733" w:rsidP="004869CB">
            <w:pPr>
              <w:pStyle w:val="TAC"/>
              <w:rPr>
                <w:rFonts w:ascii="Arial" w:hAnsi="Arial"/>
                <w:highlight w:val="yellow"/>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E30733" w:rsidRPr="004869CB" w:rsidRDefault="00E30733" w:rsidP="004869CB">
            <w:pPr>
              <w:pStyle w:val="TAC"/>
              <w:rPr>
                <w:rFonts w:ascii="Arial" w:hAnsi="Arial"/>
              </w:rPr>
            </w:pPr>
            <w:r w:rsidRPr="004869CB">
              <w:rPr>
                <w:rFonts w:ascii="Arial" w:hAnsi="Arial"/>
              </w:rPr>
              <w:t>-70</w:t>
            </w:r>
          </w:p>
        </w:tc>
      </w:tr>
      <w:tr w:rsidR="00E30733" w:rsidRPr="00540AD0" w:rsidTr="004869CB">
        <w:trPr>
          <w:jc w:val="center"/>
        </w:trPr>
        <w:tc>
          <w:tcPr>
            <w:tcW w:w="1017" w:type="dxa"/>
            <w:vMerge/>
            <w:tcBorders>
              <w:left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1017" w:type="dxa"/>
            <w:vMerge/>
            <w:tcBorders>
              <w:left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728" w:type="dxa"/>
            <w:vMerge/>
            <w:tcBorders>
              <w:left w:val="single" w:sz="6" w:space="0" w:color="auto"/>
              <w:right w:val="single" w:sz="6" w:space="0" w:color="auto"/>
            </w:tcBorders>
            <w:shd w:val="clear" w:color="auto" w:fill="auto"/>
            <w:vAlign w:val="center"/>
          </w:tcPr>
          <w:p w:rsidR="00E30733" w:rsidRPr="00950F75" w:rsidRDefault="00E30733" w:rsidP="004869CB">
            <w:pPr>
              <w:pStyle w:val="TAC"/>
              <w:rPr>
                <w:rFonts w:ascii="Arial" w:hAnsi="Arial"/>
                <w:highlight w:val="yellow"/>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-70</w:t>
            </w:r>
          </w:p>
        </w:tc>
      </w:tr>
      <w:tr w:rsidR="00E30733" w:rsidRPr="00540AD0" w:rsidTr="004869CB">
        <w:trPr>
          <w:jc w:val="center"/>
        </w:trPr>
        <w:tc>
          <w:tcPr>
            <w:tcW w:w="1017" w:type="dxa"/>
            <w:vMerge/>
            <w:tcBorders>
              <w:left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1017" w:type="dxa"/>
            <w:vMerge/>
            <w:tcBorders>
              <w:left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p>
        </w:tc>
        <w:tc>
          <w:tcPr>
            <w:tcW w:w="728" w:type="dxa"/>
            <w:vMerge/>
            <w:tcBorders>
              <w:left w:val="single" w:sz="6" w:space="0" w:color="auto"/>
              <w:right w:val="single" w:sz="6" w:space="0" w:color="auto"/>
            </w:tcBorders>
            <w:shd w:val="clear" w:color="auto" w:fill="auto"/>
            <w:vAlign w:val="center"/>
          </w:tcPr>
          <w:p w:rsidR="00E30733" w:rsidRPr="00950F75" w:rsidRDefault="00E30733" w:rsidP="004869CB">
            <w:pPr>
              <w:pStyle w:val="TAC"/>
              <w:rPr>
                <w:rFonts w:ascii="Arial" w:hAnsi="Arial"/>
                <w:highlight w:val="yellow"/>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30733" w:rsidRPr="004869CB" w:rsidRDefault="00E30733" w:rsidP="004869CB">
            <w:pPr>
              <w:pStyle w:val="TAC"/>
              <w:rPr>
                <w:rFonts w:ascii="Arial" w:hAnsi="Arial"/>
              </w:rPr>
            </w:pPr>
            <w:r w:rsidRPr="004869CB">
              <w:rPr>
                <w:rFonts w:ascii="Arial" w:hAnsi="Arial"/>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-70</w:t>
            </w:r>
          </w:p>
        </w:tc>
      </w:tr>
      <w:tr w:rsidR="00E30733" w:rsidRPr="00540AD0" w:rsidTr="004869CB">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sym w:font="Symbol" w:char="F0B1"/>
            </w:r>
            <w:r w:rsidRPr="004869CB">
              <w:rPr>
                <w:rFonts w:ascii="Arial" w:hAnsi="Arial"/>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sym w:font="Symbol" w:char="F0B1"/>
            </w:r>
            <w:r w:rsidRPr="004869CB">
              <w:rPr>
                <w:rFonts w:ascii="Arial" w:hAnsi="Arial"/>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E30733" w:rsidRPr="00950F75" w:rsidRDefault="00E30733" w:rsidP="004869CB">
            <w:pPr>
              <w:pStyle w:val="TAC"/>
              <w:rPr>
                <w:rFonts w:ascii="Arial" w:hAnsi="Arial"/>
                <w:highlight w:val="yellow"/>
              </w:rPr>
            </w:pPr>
            <w:r w:rsidRPr="00950F75">
              <w:rPr>
                <w:rFonts w:ascii="Arial" w:hAnsi="Arial"/>
                <w:highlight w:val="yellow"/>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sidDel="00190F3B">
              <w:rPr>
                <w:rFonts w:ascii="Arial" w:hAnsi="Arial"/>
              </w:rPr>
              <w:t>T</w:t>
            </w:r>
            <w:r w:rsidRPr="004869CB">
              <w:rPr>
                <w:rFonts w:ascii="Arial" w:hAnsi="Arial" w:cs="Arial"/>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E30733" w:rsidRPr="004869CB" w:rsidRDefault="00E30733" w:rsidP="004869CB">
            <w:pPr>
              <w:pStyle w:val="TAC"/>
              <w:rPr>
                <w:rFonts w:ascii="Arial" w:hAnsi="Arial"/>
              </w:rPr>
            </w:pPr>
            <w:r w:rsidRPr="004869CB">
              <w:rPr>
                <w:rFonts w:ascii="Arial" w:hAnsi="Arial"/>
              </w:rPr>
              <w:t>-50</w:t>
            </w:r>
          </w:p>
        </w:tc>
      </w:tr>
      <w:tr w:rsidR="00E30733" w:rsidRPr="00540AD0" w:rsidTr="004869CB">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30733" w:rsidRPr="004869CB" w:rsidRDefault="00E30733" w:rsidP="004869CB">
            <w:pPr>
              <w:pStyle w:val="TAN"/>
              <w:rPr>
                <w:rFonts w:ascii="Arial" w:hAnsi="Arial"/>
              </w:rPr>
            </w:pPr>
            <w:r w:rsidRPr="004869CB">
              <w:rPr>
                <w:rFonts w:ascii="Arial" w:hAnsi="Arial"/>
              </w:rPr>
              <w:t>NOTE 1:</w:t>
            </w:r>
            <w:r w:rsidRPr="004869CB">
              <w:rPr>
                <w:rFonts w:ascii="Arial" w:hAnsi="Arial"/>
              </w:rPr>
              <w:tab/>
              <w:t>Io is assumed to have constant EPRE across the bandwidth.</w:t>
            </w:r>
          </w:p>
          <w:p w:rsidR="00E30733" w:rsidRPr="004869CB" w:rsidRDefault="00E30733" w:rsidP="004869CB">
            <w:pPr>
              <w:pStyle w:val="TAN"/>
              <w:rPr>
                <w:rFonts w:ascii="Arial" w:hAnsi="Arial"/>
              </w:rPr>
            </w:pPr>
            <w:r w:rsidRPr="004869CB">
              <w:rPr>
                <w:rFonts w:ascii="Arial" w:hAnsi="Arial"/>
              </w:rPr>
              <w:t>NOTE 2:</w:t>
            </w:r>
            <w:r w:rsidRPr="004869CB">
              <w:rPr>
                <w:rFonts w:ascii="Arial" w:hAnsi="Arial"/>
              </w:rPr>
              <w:tab/>
              <w:t>NR operating band groups in FR2 are as defined in Section 3.5.3.</w:t>
            </w:r>
          </w:p>
        </w:tc>
      </w:tr>
    </w:tbl>
    <w:p w:rsidR="00E30733" w:rsidRDefault="00E30733" w:rsidP="0032455B"/>
    <w:p w:rsidR="00E30733" w:rsidRPr="0034168A" w:rsidRDefault="00E30733" w:rsidP="00E30733">
      <w:pPr>
        <w:rPr>
          <w:lang w:val="en-US" w:eastAsia="zh-CN"/>
        </w:rPr>
      </w:pPr>
      <w:r>
        <w:rPr>
          <w:lang w:val="en-US" w:eastAsia="zh-CN"/>
        </w:rPr>
        <w:t xml:space="preserve">One discussion has been on the meaning of </w:t>
      </w:r>
      <w:r w:rsidRPr="00E30733">
        <w:rPr>
          <w:rFonts w:ascii="Arial" w:hAnsi="Arial"/>
          <w:sz w:val="18"/>
        </w:rPr>
        <w:t>Ês/Iot</w:t>
      </w:r>
      <w:r w:rsidRPr="00E30733">
        <w:rPr>
          <w:lang w:val="en-US" w:eastAsia="zh-CN"/>
        </w:rPr>
        <w:t xml:space="preserve"> in</w:t>
      </w:r>
      <w:r>
        <w:rPr>
          <w:lang w:val="en-US" w:eastAsia="zh-CN"/>
        </w:rPr>
        <w:t xml:space="preserve"> an OTA requirement. In this contribution, we provide our views on the necessity and way to formulate an </w:t>
      </w:r>
      <w:r w:rsidRPr="00E30733">
        <w:rPr>
          <w:rFonts w:ascii="Arial" w:hAnsi="Arial"/>
          <w:sz w:val="18"/>
        </w:rPr>
        <w:t>Ês/Iot</w:t>
      </w:r>
      <w:r>
        <w:rPr>
          <w:rFonts w:ascii="Arial" w:hAnsi="Arial"/>
          <w:sz w:val="18"/>
        </w:rPr>
        <w:t xml:space="preserve"> requirement.</w:t>
      </w:r>
    </w:p>
    <w:p w:rsidR="005813AA" w:rsidRDefault="005813AA" w:rsidP="005813AA">
      <w:pPr>
        <w:pStyle w:val="Heading1"/>
        <w:jc w:val="both"/>
        <w:rPr>
          <w:rFonts w:eastAsia="SimSun"/>
          <w:lang w:val="en-US" w:eastAsia="zh-CN"/>
        </w:rPr>
      </w:pPr>
      <w:r>
        <w:rPr>
          <w:rFonts w:eastAsia="SimSun"/>
          <w:lang w:val="en-US" w:eastAsia="zh-CN"/>
        </w:rPr>
        <w:t>Discussion</w:t>
      </w:r>
    </w:p>
    <w:p w:rsidR="0034168A" w:rsidRDefault="00E30733" w:rsidP="0034168A">
      <w:pPr>
        <w:rPr>
          <w:rFonts w:ascii="Arial" w:hAnsi="Arial"/>
          <w:sz w:val="18"/>
        </w:rPr>
      </w:pPr>
      <w:r>
        <w:rPr>
          <w:lang w:val="en-US" w:eastAsia="zh-CN"/>
        </w:rPr>
        <w:t xml:space="preserve">It has been discussed that FR2 may not be an interference limited system, and hence the most important aspect is to specify minimum Io. While this </w:t>
      </w:r>
      <w:r w:rsidR="00950F75">
        <w:rPr>
          <w:lang w:val="en-US" w:eastAsia="zh-CN"/>
        </w:rPr>
        <w:t>is</w:t>
      </w:r>
      <w:r>
        <w:rPr>
          <w:lang w:val="en-US" w:eastAsia="zh-CN"/>
        </w:rPr>
        <w:t xml:space="preserve"> true in many scenarios, this aspect is very much deployment related, and there is no guarantee that a certain SSB is not strongly interfered, especially due to the impact of TX beamforming. Without specifying an </w:t>
      </w:r>
      <w:r w:rsidR="0097243F" w:rsidRPr="00E30733">
        <w:rPr>
          <w:rFonts w:ascii="Arial" w:hAnsi="Arial"/>
          <w:sz w:val="18"/>
        </w:rPr>
        <w:t>Ês/Iot</w:t>
      </w:r>
      <w:r w:rsidR="0097243F">
        <w:rPr>
          <w:rFonts w:ascii="Arial" w:hAnsi="Arial"/>
          <w:sz w:val="18"/>
        </w:rPr>
        <w:t xml:space="preserve"> based side condition, the UE would be expected to detect and report SSB with any level of interference, which is clearly not reasonable nor practically feasible. For this reason, our view is that </w:t>
      </w:r>
      <w:r w:rsidR="0097243F" w:rsidRPr="00E30733">
        <w:rPr>
          <w:rFonts w:ascii="Arial" w:hAnsi="Arial"/>
          <w:sz w:val="18"/>
        </w:rPr>
        <w:t>Ês/Iot</w:t>
      </w:r>
      <w:r w:rsidR="0097243F">
        <w:rPr>
          <w:rFonts w:ascii="Arial" w:hAnsi="Arial"/>
          <w:sz w:val="18"/>
        </w:rPr>
        <w:t xml:space="preserve"> requirements are necessary, even though they are also more difficult to specify for OTA than for conducted requirements.</w:t>
      </w:r>
    </w:p>
    <w:p w:rsidR="0097243F" w:rsidRDefault="0097243F" w:rsidP="0034168A">
      <w:pPr>
        <w:rPr>
          <w:lang w:val="en-US" w:eastAsia="zh-CN"/>
        </w:rPr>
      </w:pPr>
      <w:r>
        <w:rPr>
          <w:lang w:val="en-US" w:eastAsia="zh-CN"/>
        </w:rPr>
        <w:t xml:space="preserve">Fundamentally, the issue is that RAN4 has simulated measurement accuracy with different SINR, but the actual SINR that will be experienced by a </w:t>
      </w:r>
      <w:r w:rsidR="00950F75">
        <w:rPr>
          <w:lang w:val="en-US" w:eastAsia="zh-CN"/>
        </w:rPr>
        <w:t>UE</w:t>
      </w:r>
      <w:r>
        <w:rPr>
          <w:lang w:val="en-US" w:eastAsia="zh-CN"/>
        </w:rPr>
        <w:t xml:space="preserve"> in a </w:t>
      </w:r>
      <w:r w:rsidR="00950F75">
        <w:rPr>
          <w:lang w:val="en-US" w:eastAsia="zh-CN"/>
        </w:rPr>
        <w:t>scenario</w:t>
      </w:r>
      <w:r>
        <w:rPr>
          <w:lang w:val="en-US" w:eastAsia="zh-CN"/>
        </w:rPr>
        <w:t xml:space="preserve"> depends totally on the UE receive beamforming gain which is a function of antenna design, codebook design and algorithms which select the RX beam to use.</w:t>
      </w:r>
    </w:p>
    <w:p w:rsidR="008F33E4" w:rsidRDefault="008F33E4" w:rsidP="0034168A">
      <w:pPr>
        <w:rPr>
          <w:lang w:val="en-US" w:eastAsia="zh-CN"/>
        </w:rPr>
      </w:pPr>
      <w:r>
        <w:rPr>
          <w:lang w:val="en-US" w:eastAsia="zh-CN"/>
        </w:rPr>
        <w:t xml:space="preserve">To solve this dilemma, we propose that RAN4 defines an </w:t>
      </w:r>
      <w:r w:rsidR="003F2C43">
        <w:rPr>
          <w:lang w:val="en-US" w:eastAsia="zh-CN"/>
        </w:rPr>
        <w:t xml:space="preserve">equivalent isotropic signal to noise and interferer ratio, which for the purposes of discussion we will abbreviate to EISINR. The EISINR is the </w:t>
      </w:r>
      <w:r w:rsidR="003F2C43" w:rsidRPr="00E30733">
        <w:rPr>
          <w:rFonts w:ascii="Arial" w:hAnsi="Arial"/>
          <w:sz w:val="18"/>
        </w:rPr>
        <w:t>Ês/Iot</w:t>
      </w:r>
      <w:r w:rsidR="003F2C43">
        <w:rPr>
          <w:lang w:val="en-US" w:eastAsia="zh-CN"/>
        </w:rPr>
        <w:t xml:space="preserve"> which would be observed with an ideal RF and baseband receiver if the beamforming antenna system were replaced by a hypothetical isotropic antenna.</w:t>
      </w:r>
    </w:p>
    <w:p w:rsidR="003F2C43" w:rsidRDefault="003F2C43" w:rsidP="0034168A">
      <w:pPr>
        <w:rPr>
          <w:lang w:val="en-US" w:eastAsia="zh-CN"/>
        </w:rPr>
      </w:pPr>
      <w:r>
        <w:rPr>
          <w:lang w:val="en-US" w:eastAsia="zh-CN"/>
        </w:rPr>
        <w:lastRenderedPageBreak/>
        <w:t>Since the UE performs RX beamsweeping to determine a favourable RX beam to make measurements, we can assume that typically the practical UE will experience positive beamforming gain for wanted signals, especially in directions where spherical coverage requirements, and hence RRM requirements apply. Moreover, unwanted interference should typically arrive from a different direction, and the expectation should be that the interference is to some extent suppressed compared with the wanted signal, at least if it is spatially separate. Of course, if the wanted signal and interferer arrive from the same AoA, they are subject to the same antenna gain.</w:t>
      </w:r>
    </w:p>
    <w:p w:rsidR="00B04B7D" w:rsidRDefault="00B04B7D" w:rsidP="0034168A">
      <w:pPr>
        <w:rPr>
          <w:lang w:val="en-US" w:eastAsia="zh-CN"/>
        </w:rPr>
      </w:pPr>
      <w:r>
        <w:rPr>
          <w:lang w:val="en-US" w:eastAsia="zh-CN"/>
        </w:rPr>
        <w:t xml:space="preserve">Since RX beamforming can be expected to improve the SINR, if we set a side condition of </w:t>
      </w:r>
      <w:r w:rsidR="00950F75">
        <w:rPr>
          <w:lang w:val="en-US" w:eastAsia="zh-CN"/>
        </w:rPr>
        <w:t>e.g.</w:t>
      </w:r>
      <w:r>
        <w:rPr>
          <w:lang w:val="en-US" w:eastAsia="zh-CN"/>
        </w:rPr>
        <w:t xml:space="preserve"> -6dB </w:t>
      </w:r>
      <w:r w:rsidRPr="00E30733">
        <w:rPr>
          <w:rFonts w:ascii="Arial" w:hAnsi="Arial"/>
          <w:sz w:val="18"/>
        </w:rPr>
        <w:t>Ês/Iot</w:t>
      </w:r>
      <w:r>
        <w:rPr>
          <w:rFonts w:ascii="Arial" w:hAnsi="Arial"/>
          <w:sz w:val="18"/>
        </w:rPr>
        <w:t xml:space="preserve"> for EISINR, the real UE should also be able to work in such a condition. </w:t>
      </w:r>
    </w:p>
    <w:p w:rsidR="003F2C43" w:rsidRDefault="00B04B7D" w:rsidP="0034168A">
      <w:pPr>
        <w:rPr>
          <w:lang w:val="en-US" w:eastAsia="zh-CN"/>
        </w:rPr>
      </w:pPr>
      <w:r>
        <w:rPr>
          <w:lang w:val="en-US" w:eastAsia="zh-CN"/>
        </w:rPr>
        <w:t>Based on this we propose</w:t>
      </w:r>
    </w:p>
    <w:p w:rsidR="00B04B7D" w:rsidRPr="00B04B7D" w:rsidRDefault="00B04B7D" w:rsidP="0034168A">
      <w:pPr>
        <w:rPr>
          <w:b/>
          <w:lang w:val="en-US" w:eastAsia="zh-CN"/>
        </w:rPr>
      </w:pPr>
      <w:r>
        <w:rPr>
          <w:b/>
          <w:lang w:val="en-US" w:eastAsia="zh-CN"/>
        </w:rPr>
        <w:t xml:space="preserve">Proposal 1: </w:t>
      </w:r>
      <w:r w:rsidRPr="00B04B7D">
        <w:rPr>
          <w:b/>
          <w:lang w:val="en-US" w:eastAsia="zh-CN"/>
        </w:rPr>
        <w:t>RAN4 defines an equivalent isotropic signal to noise and interferer ratio, which for the purposes of discussion we will abbreviate to EISINR. The EISINR is the Ês/Iot which would be observed with an ideal RF and baseband receiver if the beamforming antenna system were replaced by a hypothetical isotropic antenna</w:t>
      </w:r>
    </w:p>
    <w:p w:rsidR="008F765F" w:rsidRPr="00B04B7D" w:rsidRDefault="00B04B7D" w:rsidP="008F765F">
      <w:pPr>
        <w:rPr>
          <w:b/>
          <w:lang w:eastAsia="zh-CN"/>
        </w:rPr>
      </w:pPr>
      <w:r w:rsidRPr="00B04B7D">
        <w:rPr>
          <w:b/>
          <w:lang w:eastAsia="zh-CN"/>
        </w:rPr>
        <w:t>P</w:t>
      </w:r>
      <w:r>
        <w:rPr>
          <w:b/>
          <w:lang w:eastAsia="zh-CN"/>
        </w:rPr>
        <w:t xml:space="preserve">roposal 2: The UE is expected to be able to measure in conditions where </w:t>
      </w:r>
      <w:r w:rsidRPr="00B04B7D">
        <w:rPr>
          <w:b/>
          <w:lang w:val="en-US" w:eastAsia="zh-CN"/>
        </w:rPr>
        <w:t>EISINR</w:t>
      </w:r>
      <w:r>
        <w:rPr>
          <w:b/>
          <w:lang w:val="en-US" w:eastAsia="zh-CN"/>
        </w:rPr>
        <w:t>≥-[6]dB</w:t>
      </w:r>
    </w:p>
    <w:p w:rsidR="0034168A" w:rsidRPr="0034168A" w:rsidRDefault="005813AA" w:rsidP="00BE0426">
      <w:pPr>
        <w:pStyle w:val="Heading1"/>
        <w:jc w:val="both"/>
        <w:rPr>
          <w:lang w:val="en-US" w:eastAsia="zh-CN"/>
        </w:rPr>
      </w:pPr>
      <w:r>
        <w:rPr>
          <w:rFonts w:eastAsia="SimSun"/>
          <w:lang w:val="en-US" w:eastAsia="zh-CN"/>
        </w:rPr>
        <w:t>Conclusion</w:t>
      </w:r>
    </w:p>
    <w:p w:rsidR="00B04B7D" w:rsidRPr="00B04B7D" w:rsidRDefault="00B04B7D" w:rsidP="00B04B7D">
      <w:pPr>
        <w:rPr>
          <w:b/>
          <w:lang w:val="en-US" w:eastAsia="zh-CN"/>
        </w:rPr>
      </w:pPr>
      <w:r>
        <w:rPr>
          <w:b/>
          <w:lang w:val="en-US" w:eastAsia="zh-CN"/>
        </w:rPr>
        <w:t xml:space="preserve">Proposal 1: </w:t>
      </w:r>
      <w:r w:rsidRPr="00B04B7D">
        <w:rPr>
          <w:b/>
          <w:lang w:val="en-US" w:eastAsia="zh-CN"/>
        </w:rPr>
        <w:t>RAN4 defines an equivalent isotropic signal to noise and interferer ratio, which for the purposes of discussion we will abbreviate to EISINR. The EISINR is the Ês/Iot which would be observed with an ideal RF and baseband receiver if the beamforming antenna system were replaced by a hypothetical isotropic antenna</w:t>
      </w:r>
    </w:p>
    <w:p w:rsidR="00195030" w:rsidRDefault="00B04B7D" w:rsidP="00195030">
      <w:pPr>
        <w:rPr>
          <w:b/>
          <w:lang w:eastAsia="zh-CN"/>
        </w:rPr>
      </w:pPr>
      <w:r w:rsidRPr="00B04B7D">
        <w:rPr>
          <w:b/>
          <w:lang w:eastAsia="zh-CN"/>
        </w:rPr>
        <w:t>P</w:t>
      </w:r>
      <w:r>
        <w:rPr>
          <w:b/>
          <w:lang w:eastAsia="zh-CN"/>
        </w:rPr>
        <w:t xml:space="preserve">roposal 2: The UE is expected to be able to measure in conditions where </w:t>
      </w:r>
      <w:r w:rsidRPr="00B04B7D">
        <w:rPr>
          <w:b/>
          <w:lang w:val="en-US" w:eastAsia="zh-CN"/>
        </w:rPr>
        <w:t>EISINR</w:t>
      </w:r>
      <w:r>
        <w:rPr>
          <w:b/>
          <w:lang w:val="en-US" w:eastAsia="zh-CN"/>
        </w:rPr>
        <w:t>≥-[6]dB</w:t>
      </w: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E948E9" w:rsidP="00E948E9">
      <w:pPr>
        <w:pStyle w:val="3GPPNormalText"/>
        <w:numPr>
          <w:ilvl w:val="0"/>
          <w:numId w:val="5"/>
        </w:numPr>
        <w:rPr>
          <w:lang w:eastAsia="zh-CN"/>
        </w:rPr>
      </w:pPr>
      <w:bookmarkStart w:id="2" w:name="_Ref534887717"/>
      <w:r w:rsidRPr="00E948E9">
        <w:rPr>
          <w:lang w:eastAsia="zh-CN"/>
        </w:rPr>
        <w:t>RP-181482</w:t>
      </w:r>
      <w:r>
        <w:rPr>
          <w:lang w:eastAsia="zh-CN"/>
        </w:rPr>
        <w:t>, “</w:t>
      </w:r>
      <w:r w:rsidRPr="00E948E9">
        <w:rPr>
          <w:lang w:eastAsia="zh-CN"/>
        </w:rPr>
        <w:t>New Work Item on Further performance enhancement for LTE in high speed scenario</w:t>
      </w:r>
      <w:r>
        <w:rPr>
          <w:lang w:eastAsia="zh-CN"/>
        </w:rPr>
        <w:t>”, Softbank</w:t>
      </w:r>
      <w:bookmarkEnd w:id="2"/>
      <w:r>
        <w:rPr>
          <w:lang w:eastAsia="zh-CN"/>
        </w:rPr>
        <w:t>(moderator)</w:t>
      </w:r>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B23" w:rsidRDefault="00CA2B23">
      <w:r>
        <w:separator/>
      </w:r>
    </w:p>
  </w:endnote>
  <w:endnote w:type="continuationSeparator" w:id="0">
    <w:p w:rsidR="00CA2B23" w:rsidRDefault="00CA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B23" w:rsidRDefault="00CA2B23">
      <w:r>
        <w:separator/>
      </w:r>
    </w:p>
  </w:footnote>
  <w:footnote w:type="continuationSeparator" w:id="0">
    <w:p w:rsidR="00CA2B23" w:rsidRDefault="00CA2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5"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4"/>
  </w:num>
  <w:num w:numId="2">
    <w:abstractNumId w:val="22"/>
  </w:num>
  <w:num w:numId="3">
    <w:abstractNumId w:val="24"/>
  </w:num>
  <w:num w:numId="4">
    <w:abstractNumId w:val="9"/>
  </w:num>
  <w:num w:numId="5">
    <w:abstractNumId w:val="12"/>
  </w:num>
  <w:num w:numId="6">
    <w:abstractNumId w:val="4"/>
  </w:num>
  <w:num w:numId="7">
    <w:abstractNumId w:val="7"/>
  </w:num>
  <w:num w:numId="8">
    <w:abstractNumId w:val="21"/>
  </w:num>
  <w:num w:numId="9">
    <w:abstractNumId w:val="18"/>
  </w:num>
  <w:num w:numId="10">
    <w:abstractNumId w:val="1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1"/>
  </w:num>
  <w:num w:numId="14">
    <w:abstractNumId w:val="19"/>
  </w:num>
  <w:num w:numId="15">
    <w:abstractNumId w:val="5"/>
  </w:num>
  <w:num w:numId="16">
    <w:abstractNumId w:val="2"/>
  </w:num>
  <w:num w:numId="17">
    <w:abstractNumId w:val="15"/>
  </w:num>
  <w:num w:numId="18">
    <w:abstractNumId w:val="13"/>
  </w:num>
  <w:num w:numId="19">
    <w:abstractNumId w:val="3"/>
  </w:num>
  <w:num w:numId="20">
    <w:abstractNumId w:val="10"/>
  </w:num>
  <w:num w:numId="21">
    <w:abstractNumId w:val="11"/>
  </w:num>
  <w:num w:numId="22">
    <w:abstractNumId w:val="8"/>
  </w:num>
  <w:num w:numId="23">
    <w:abstractNumId w:val="25"/>
  </w:num>
  <w:num w:numId="24">
    <w:abstractNumId w:val="23"/>
  </w:num>
  <w:num w:numId="25">
    <w:abstractNumId w:val="20"/>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8C0"/>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C43"/>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3E4"/>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0F75"/>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43F"/>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3"/>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4B7D"/>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23"/>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BBF"/>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733"/>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4A8B3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029D304-4D04-425D-9B12-1EFC6A0A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2</cp:revision>
  <cp:lastPrinted>2009-04-22T13:01:00Z</cp:lastPrinted>
  <dcterms:created xsi:type="dcterms:W3CDTF">2019-02-15T11:45:00Z</dcterms:created>
  <dcterms:modified xsi:type="dcterms:W3CDTF">2019-02-15T11:45:00Z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